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AE327" w14:textId="1788B525" w:rsidR="00BD5A1E" w:rsidRDefault="00BD5A1E" w:rsidP="00BD5A1E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#100</w:t>
      </w:r>
      <w:r w:rsidR="004F7155">
        <w:rPr>
          <w:rFonts w:ascii="Arial" w:hAnsi="Arial" w:cs="Arial"/>
          <w:b/>
          <w:sz w:val="22"/>
          <w:szCs w:val="22"/>
          <w:lang w:eastAsia="zh-CN"/>
        </w:rPr>
        <w:t>b</w:t>
      </w:r>
      <w:r>
        <w:rPr>
          <w:rFonts w:ascii="Arial" w:hAnsi="Arial" w:cs="Arial"/>
          <w:b/>
          <w:sz w:val="22"/>
          <w:szCs w:val="22"/>
          <w:lang w:eastAsia="zh-CN"/>
        </w:rPr>
        <w:t>is</w:t>
      </w:r>
      <w:r w:rsidR="004F7155">
        <w:rPr>
          <w:rFonts w:ascii="Arial" w:hAnsi="Arial" w:cs="Arial"/>
          <w:b/>
          <w:sz w:val="22"/>
          <w:szCs w:val="22"/>
          <w:lang w:eastAsia="zh-CN"/>
        </w:rPr>
        <w:t>-e</w:t>
      </w:r>
      <w:bookmarkStart w:id="1" w:name="_GoBack"/>
      <w:bookmarkEnd w:id="1"/>
      <w:r>
        <w:rPr>
          <w:rFonts w:ascii="Arial" w:hAnsi="Arial" w:cs="Arial"/>
          <w:b/>
          <w:sz w:val="22"/>
          <w:szCs w:val="22"/>
        </w:rPr>
        <w:tab/>
      </w:r>
      <w:r w:rsidR="001C7BED" w:rsidRPr="001C7BED">
        <w:rPr>
          <w:rFonts w:ascii="Arial" w:hAnsi="Arial" w:cs="Arial"/>
          <w:b/>
          <w:sz w:val="22"/>
          <w:szCs w:val="22"/>
        </w:rPr>
        <w:t>R1-2001623</w:t>
      </w:r>
    </w:p>
    <w:p w14:paraId="61D7048F" w14:textId="04F93ED1" w:rsidR="002F3AEE" w:rsidRDefault="00BD5A1E" w:rsidP="00BD5A1E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>, April 20th – 30th, 2020</w:t>
      </w:r>
      <w:r w:rsidR="00F16A21">
        <w:rPr>
          <w:rFonts w:ascii="Arial" w:hAnsi="Arial" w:cs="Arial"/>
          <w:b/>
          <w:sz w:val="22"/>
          <w:szCs w:val="22"/>
        </w:rPr>
        <w:tab/>
      </w:r>
    </w:p>
    <w:p w14:paraId="10D6D99D" w14:textId="77777777" w:rsidR="002F3AEE" w:rsidRDefault="002F3AEE">
      <w:pPr>
        <w:pStyle w:val="Footer"/>
        <w:jc w:val="both"/>
      </w:pPr>
    </w:p>
    <w:p w14:paraId="1D671296" w14:textId="77777777" w:rsidR="002F3AEE" w:rsidRDefault="00F16A21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</w:t>
      </w:r>
    </w:p>
    <w:p w14:paraId="1640C0F6" w14:textId="3B50341A" w:rsidR="002F3AEE" w:rsidRDefault="00F16A21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EE63B7">
        <w:rPr>
          <w:rFonts w:ascii="Arial" w:hAnsi="Arial"/>
          <w:b/>
        </w:rPr>
        <w:t xml:space="preserve">Discussion on </w:t>
      </w:r>
      <w:r w:rsidR="00AE497C">
        <w:rPr>
          <w:rFonts w:ascii="Arial" w:hAnsi="Arial"/>
          <w:b/>
        </w:rPr>
        <w:t>PUCCH Group Configuration for NR-DC</w:t>
      </w:r>
    </w:p>
    <w:p w14:paraId="4D37673F" w14:textId="18D6D703" w:rsidR="002F3AEE" w:rsidRDefault="00EE63B7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7.2.10.7</w:t>
      </w:r>
    </w:p>
    <w:p w14:paraId="6180B978" w14:textId="77777777" w:rsidR="002F3AEE" w:rsidRDefault="00F16A21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14:paraId="22582BC7" w14:textId="77777777" w:rsidR="002F3AEE" w:rsidRDefault="00F16A21">
      <w:pPr>
        <w:pStyle w:val="Heading1"/>
        <w:textAlignment w:val="auto"/>
      </w:pPr>
      <w:bookmarkStart w:id="3" w:name="_Ref4817"/>
      <w:r>
        <w:t>Introduction</w:t>
      </w:r>
      <w:bookmarkEnd w:id="0"/>
      <w:bookmarkEnd w:id="3"/>
    </w:p>
    <w:p w14:paraId="03FB1C97" w14:textId="2145E3FD" w:rsidR="004D6B97" w:rsidRDefault="00AE497C">
      <w:pPr>
        <w:rPr>
          <w:lang w:val="en-GB" w:eastAsia="zh-CN"/>
        </w:rPr>
      </w:pPr>
      <w:r>
        <w:rPr>
          <w:lang w:val="en-GB" w:eastAsia="zh-CN"/>
        </w:rPr>
        <w:t xml:space="preserve">In Rel-15, only MCG fully in FR1 and SCG fully in FR2 are applicable to NR-DC. With this, RAN1 restricts that only one PUCCH group can be configured for each CG under NR-DC in Rel-15. </w:t>
      </w:r>
    </w:p>
    <w:p w14:paraId="114836DB" w14:textId="38885670" w:rsidR="00AE497C" w:rsidRDefault="00AE497C">
      <w:pPr>
        <w:rPr>
          <w:lang w:val="en-GB" w:eastAsia="zh-CN"/>
        </w:rPr>
      </w:pPr>
      <w:r>
        <w:rPr>
          <w:lang w:val="en-GB" w:eastAsia="zh-CN"/>
        </w:rPr>
        <w:t xml:space="preserve">In Rel-16, there could be FR1 cell and FR2 cell in MCG and SCG at the same time. It is not clear whether the Rel-15 restriction of the number of PUCCH group in each CG should be applied to Rel-16 NR-DC or not. </w:t>
      </w:r>
    </w:p>
    <w:p w14:paraId="70DFC25E" w14:textId="61333876" w:rsidR="002F3AEE" w:rsidRDefault="00865CEA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08BAEE54" w14:textId="621033FC" w:rsidR="000B5F30" w:rsidRDefault="00AE497C" w:rsidP="00DC4B1C">
      <w:pPr>
        <w:rPr>
          <w:lang w:val="en-GB" w:eastAsia="zh-CN"/>
        </w:rPr>
      </w:pPr>
      <w:r w:rsidRPr="00AE497C">
        <w:rPr>
          <w:lang w:val="en-GB" w:eastAsia="zh-CN"/>
        </w:rPr>
        <w:t xml:space="preserve">According to </w:t>
      </w:r>
      <w:r>
        <w:rPr>
          <w:lang w:val="en-GB" w:eastAsia="zh-CN"/>
        </w:rPr>
        <w:t>Rel-15 TS38.213, as the highlighted part shown, UE does not expect to be configured with a PUCCH-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for each CG under NR-DC. In Rel-15, this restriction makes sense as Rel-15 NR-DC requires MCG fully in FR1 and SCG fully in FR2.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497C" w14:paraId="13E83850" w14:textId="77777777" w:rsidTr="00AE497C">
        <w:tc>
          <w:tcPr>
            <w:tcW w:w="9628" w:type="dxa"/>
          </w:tcPr>
          <w:p w14:paraId="4316B37D" w14:textId="77777777" w:rsidR="00AE497C" w:rsidRPr="00AE497C" w:rsidRDefault="00AE497C" w:rsidP="00AE497C">
            <w:pPr>
              <w:pStyle w:val="00BodyText"/>
              <w:rPr>
                <w:rFonts w:eastAsia="Times New Roman"/>
                <w:b/>
                <w:lang w:eastAsia="zh-CN"/>
              </w:rPr>
            </w:pPr>
            <w:r w:rsidRPr="00AE497C">
              <w:rPr>
                <w:b/>
              </w:rPr>
              <w:t>9</w:t>
            </w:r>
            <w:r w:rsidRPr="00AE497C">
              <w:rPr>
                <w:b/>
              </w:rPr>
              <w:tab/>
              <w:t>UE procedure for reporting control information</w:t>
            </w:r>
          </w:p>
          <w:p w14:paraId="58F09B0D" w14:textId="77777777" w:rsidR="00AE497C" w:rsidRPr="00AE497C" w:rsidRDefault="00AE497C" w:rsidP="00AE497C">
            <w:pPr>
              <w:pStyle w:val="a"/>
              <w:rPr>
                <w:sz w:val="20"/>
                <w:szCs w:val="20"/>
              </w:rPr>
            </w:pPr>
            <w:r w:rsidRPr="00AE497C">
              <w:rPr>
                <w:sz w:val="20"/>
                <w:szCs w:val="20"/>
              </w:rPr>
              <w:t xml:space="preserve">If a UE is configured with a SCG, the UE shall apply the procedures described in this </w:t>
            </w:r>
            <w:proofErr w:type="spellStart"/>
            <w:r w:rsidRPr="00AE497C">
              <w:rPr>
                <w:sz w:val="20"/>
                <w:szCs w:val="20"/>
              </w:rPr>
              <w:t>subclause</w:t>
            </w:r>
            <w:proofErr w:type="spellEnd"/>
            <w:r w:rsidRPr="00AE497C">
              <w:rPr>
                <w:sz w:val="20"/>
                <w:szCs w:val="20"/>
              </w:rPr>
              <w:t xml:space="preserve"> for both MCG and SCG.</w:t>
            </w:r>
          </w:p>
          <w:p w14:paraId="217916FE" w14:textId="77777777" w:rsidR="00AE497C" w:rsidRPr="00AE497C" w:rsidRDefault="00AE497C" w:rsidP="00AE497C">
            <w:pPr>
              <w:pStyle w:val="B1"/>
            </w:pPr>
            <w:r w:rsidRPr="00AE497C">
              <w:t>-</w:t>
            </w:r>
            <w:r w:rsidRPr="00AE497C">
              <w:tab/>
              <w:t>When the procedures are applied for MCG, the terms 'secondary cell', 'secondary cells' , 'serving cell', 'serving cells' in this clause refer to secondary cell, secondary cells, serving cell, serving cells belonging to the MCG respectively.</w:t>
            </w:r>
          </w:p>
          <w:p w14:paraId="3D73DCE0" w14:textId="77777777" w:rsidR="00AE497C" w:rsidRPr="00AE497C" w:rsidRDefault="00AE497C" w:rsidP="00AE497C">
            <w:pPr>
              <w:pStyle w:val="B1"/>
            </w:pPr>
            <w:r w:rsidRPr="00AE497C">
              <w:t>-</w:t>
            </w:r>
            <w:r w:rsidRPr="00AE497C">
              <w:tab/>
              <w:t xml:space="preserve">When the procedures are applied for SCG, the terms 'secondary cell', 'secondary cells', 'serving cell', 'serving cells' in this clause refer to secondary cell, secondary cells (not including </w:t>
            </w:r>
            <w:proofErr w:type="spellStart"/>
            <w:r w:rsidRPr="00AE497C">
              <w:t>PSCell</w:t>
            </w:r>
            <w:proofErr w:type="spellEnd"/>
            <w:r w:rsidRPr="00AE497C">
              <w:t xml:space="preserve">), serving cell, serving cells belonging to the SCG respectively. The term 'primary cell' in this clause refers to the </w:t>
            </w:r>
            <w:proofErr w:type="spellStart"/>
            <w:r w:rsidRPr="00AE497C">
              <w:t>PSCell</w:t>
            </w:r>
            <w:proofErr w:type="spellEnd"/>
            <w:r w:rsidRPr="00AE497C">
              <w:t xml:space="preserve"> of the SCG.</w:t>
            </w:r>
          </w:p>
          <w:p w14:paraId="20ED459C" w14:textId="77777777" w:rsidR="00AE497C" w:rsidRPr="00AE497C" w:rsidRDefault="00AE497C" w:rsidP="00AE497C">
            <w:pPr>
              <w:pStyle w:val="a"/>
              <w:rPr>
                <w:sz w:val="20"/>
                <w:szCs w:val="20"/>
              </w:rPr>
            </w:pPr>
            <w:r w:rsidRPr="00AE497C">
              <w:rPr>
                <w:sz w:val="20"/>
                <w:szCs w:val="20"/>
              </w:rPr>
              <w:t xml:space="preserve">If the UE is configured with a </w:t>
            </w:r>
            <w:r w:rsidRPr="00AE497C">
              <w:rPr>
                <w:rFonts w:hint="eastAsia"/>
                <w:sz w:val="20"/>
                <w:szCs w:val="20"/>
              </w:rPr>
              <w:t>PUCCH</w:t>
            </w:r>
            <w:r w:rsidRPr="00AE497C">
              <w:rPr>
                <w:sz w:val="20"/>
                <w:szCs w:val="20"/>
              </w:rPr>
              <w:t>-</w:t>
            </w:r>
            <w:proofErr w:type="spellStart"/>
            <w:r w:rsidRPr="00AE497C">
              <w:rPr>
                <w:rFonts w:hint="eastAsia"/>
                <w:sz w:val="20"/>
                <w:szCs w:val="20"/>
              </w:rPr>
              <w:t>SCell</w:t>
            </w:r>
            <w:proofErr w:type="spellEnd"/>
            <w:r w:rsidRPr="00AE497C">
              <w:rPr>
                <w:sz w:val="20"/>
                <w:szCs w:val="20"/>
              </w:rPr>
              <w:t xml:space="preserve">, the UE shall apply the procedures described in this clause for both </w:t>
            </w:r>
            <w:r w:rsidRPr="00AE497C">
              <w:rPr>
                <w:rFonts w:hint="eastAsia"/>
                <w:sz w:val="20"/>
                <w:szCs w:val="20"/>
              </w:rPr>
              <w:t>primary PUCCH group</w:t>
            </w:r>
            <w:r w:rsidRPr="00AE497C">
              <w:rPr>
                <w:sz w:val="20"/>
                <w:szCs w:val="20"/>
              </w:rPr>
              <w:t xml:space="preserve"> and </w:t>
            </w:r>
            <w:r w:rsidRPr="00AE497C">
              <w:rPr>
                <w:rFonts w:hint="eastAsia"/>
                <w:sz w:val="20"/>
                <w:szCs w:val="20"/>
              </w:rPr>
              <w:t>secondary PUCCH group</w:t>
            </w:r>
          </w:p>
          <w:p w14:paraId="4994290B" w14:textId="77777777" w:rsidR="00AE497C" w:rsidRPr="00AE497C" w:rsidRDefault="00AE497C" w:rsidP="00AE497C">
            <w:pPr>
              <w:pStyle w:val="B1"/>
            </w:pPr>
            <w:r w:rsidRPr="00AE497C">
              <w:t>-</w:t>
            </w:r>
            <w:r w:rsidRPr="00AE497C">
              <w:tab/>
              <w:t xml:space="preserve">When the procedures are applied for </w:t>
            </w:r>
            <w:r w:rsidRPr="00AE497C">
              <w:rPr>
                <w:rFonts w:hint="eastAsia"/>
              </w:rPr>
              <w:t>the primary PUCCH group</w:t>
            </w:r>
            <w:r w:rsidRPr="00AE497C">
              <w:t xml:space="preserve">, the terms 'secondary cell', 'secondary cells' , 'serving cell', 'serving cells' in this clause refer to secondary cell, secondary cells, serving cell, serving cells belonging to the </w:t>
            </w:r>
            <w:r w:rsidRPr="00AE497C">
              <w:rPr>
                <w:rFonts w:hint="eastAsia"/>
              </w:rPr>
              <w:t>primary PUCCH group</w:t>
            </w:r>
            <w:r w:rsidRPr="00AE497C">
              <w:t xml:space="preserve"> respectively.</w:t>
            </w:r>
          </w:p>
          <w:p w14:paraId="53F76DC0" w14:textId="77777777" w:rsidR="00AE497C" w:rsidRPr="00AE497C" w:rsidRDefault="00AE497C" w:rsidP="00AE497C">
            <w:pPr>
              <w:pStyle w:val="B1"/>
            </w:pPr>
            <w:r w:rsidRPr="00AE497C">
              <w:t>-</w:t>
            </w:r>
            <w:r w:rsidRPr="00AE497C">
              <w:tab/>
              <w:t xml:space="preserve">When the procedures are applied for </w:t>
            </w:r>
            <w:r w:rsidRPr="00AE497C">
              <w:rPr>
                <w:rFonts w:hint="eastAsia"/>
              </w:rPr>
              <w:t>secondary PUCCH group</w:t>
            </w:r>
            <w:r w:rsidRPr="00AE497C">
              <w:t xml:space="preserve">, the terms 'secondary cell', 'secondary cells', 'serving cell', 'serving cells' in this clause refer to secondary cell, secondary cells (not including </w:t>
            </w:r>
            <w:r w:rsidRPr="00AE497C">
              <w:rPr>
                <w:rFonts w:hint="eastAsia"/>
              </w:rPr>
              <w:t>the PUCCH</w:t>
            </w:r>
            <w:r w:rsidRPr="00AE497C">
              <w:t>-</w:t>
            </w:r>
            <w:proofErr w:type="spellStart"/>
            <w:r w:rsidRPr="00AE497C">
              <w:rPr>
                <w:rFonts w:hint="eastAsia"/>
              </w:rPr>
              <w:t>SCell</w:t>
            </w:r>
            <w:proofErr w:type="spellEnd"/>
            <w:r w:rsidRPr="00AE497C">
              <w:t xml:space="preserve">), serving cell, serving cells belonging to the </w:t>
            </w:r>
            <w:r w:rsidRPr="00AE497C">
              <w:rPr>
                <w:rFonts w:hint="eastAsia"/>
              </w:rPr>
              <w:t>secondary PUCCH group</w:t>
            </w:r>
            <w:r w:rsidRPr="00AE497C">
              <w:t xml:space="preserve"> respectively. The term 'primary cell' in this clause refers to the </w:t>
            </w:r>
            <w:r w:rsidRPr="00AE497C">
              <w:rPr>
                <w:rFonts w:hint="eastAsia"/>
              </w:rPr>
              <w:t>PUCCH</w:t>
            </w:r>
            <w:r w:rsidRPr="00AE497C">
              <w:t>-</w:t>
            </w:r>
            <w:proofErr w:type="spellStart"/>
            <w:r w:rsidRPr="00AE497C">
              <w:rPr>
                <w:rFonts w:hint="eastAsia"/>
              </w:rPr>
              <w:t>SCell</w:t>
            </w:r>
            <w:proofErr w:type="spellEnd"/>
            <w:r w:rsidRPr="00AE497C">
              <w:t xml:space="preserve"> of the </w:t>
            </w:r>
            <w:r w:rsidRPr="00AE497C">
              <w:rPr>
                <w:rFonts w:hint="eastAsia"/>
              </w:rPr>
              <w:t>secondary PUCCH group</w:t>
            </w:r>
            <w:r w:rsidRPr="00AE497C">
              <w:t>.</w:t>
            </w:r>
          </w:p>
          <w:p w14:paraId="511B0052" w14:textId="14E9EFE4" w:rsidR="00AE497C" w:rsidRPr="00AE497C" w:rsidRDefault="00AE497C" w:rsidP="00AE497C">
            <w:pPr>
              <w:pStyle w:val="a"/>
            </w:pPr>
            <w:r w:rsidRPr="00AE497C">
              <w:rPr>
                <w:sz w:val="20"/>
                <w:szCs w:val="20"/>
                <w:highlight w:val="yellow"/>
              </w:rPr>
              <w:t>If a UE is configured for NR-DC operation, the UE does not expect to be configured with a PUCCH-</w:t>
            </w:r>
            <w:proofErr w:type="spellStart"/>
            <w:r w:rsidRPr="00AE497C">
              <w:rPr>
                <w:sz w:val="20"/>
                <w:szCs w:val="20"/>
                <w:highlight w:val="yellow"/>
              </w:rPr>
              <w:t>SCell</w:t>
            </w:r>
            <w:proofErr w:type="spellEnd"/>
            <w:r w:rsidRPr="00AE497C">
              <w:rPr>
                <w:sz w:val="20"/>
                <w:szCs w:val="20"/>
                <w:highlight w:val="yellow"/>
              </w:rPr>
              <w:t>.</w:t>
            </w:r>
          </w:p>
        </w:tc>
      </w:tr>
    </w:tbl>
    <w:p w14:paraId="5FE0659C" w14:textId="77777777" w:rsidR="00AE497C" w:rsidRDefault="00AE497C" w:rsidP="00DC4B1C">
      <w:pPr>
        <w:rPr>
          <w:lang w:val="en-GB" w:eastAsia="zh-CN"/>
        </w:rPr>
      </w:pPr>
    </w:p>
    <w:p w14:paraId="22A72284" w14:textId="4C4C29E9" w:rsidR="00AE497C" w:rsidRDefault="00AE497C" w:rsidP="00DC4B1C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Rel-16 NR-DC, RAN1’s design </w:t>
      </w:r>
      <w:r w:rsidR="00D67D5E">
        <w:rPr>
          <w:lang w:val="en-GB" w:eastAsia="zh-CN"/>
        </w:rPr>
        <w:t xml:space="preserve">(e.g., design of power sharing) </w:t>
      </w:r>
      <w:r>
        <w:rPr>
          <w:lang w:val="en-GB" w:eastAsia="zh-CN"/>
        </w:rPr>
        <w:t xml:space="preserve">supports FR1 cell and FR2 cell in both MCG and SCG. </w:t>
      </w:r>
      <w:r w:rsidR="00D67D5E">
        <w:rPr>
          <w:lang w:val="en-GB" w:eastAsia="zh-CN"/>
        </w:rPr>
        <w:t>With both FR1 and FR2 cells in one CG, One PUCCH group in each FR supports the network scheduling/configuration flexibility.</w:t>
      </w:r>
    </w:p>
    <w:p w14:paraId="4AB40177" w14:textId="574B6288" w:rsidR="00257AC8" w:rsidRDefault="00D67D5E" w:rsidP="00DC4B1C">
      <w:pPr>
        <w:rPr>
          <w:lang w:val="en-GB" w:eastAsia="zh-CN"/>
        </w:rPr>
      </w:pPr>
      <w:r>
        <w:rPr>
          <w:lang w:val="en-GB" w:eastAsia="zh-CN"/>
        </w:rPr>
        <w:lastRenderedPageBreak/>
        <w:t>Moreover, for Rel-15 EN-DC and NE-DC, t</w:t>
      </w:r>
      <w:r w:rsidRPr="00D67D5E">
        <w:rPr>
          <w:lang w:val="en-GB" w:eastAsia="zh-CN"/>
        </w:rPr>
        <w:t xml:space="preserve">he NW configures at most one </w:t>
      </w:r>
      <w:r>
        <w:rPr>
          <w:lang w:val="en-GB" w:eastAsia="zh-CN"/>
        </w:rPr>
        <w:t xml:space="preserve">PUCCH group per frequency range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_Ref36802401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 w:rsidRPr="00D67D5E">
        <w:rPr>
          <w:lang w:val="en-GB" w:eastAsia="zh-CN"/>
        </w:rPr>
        <w:t xml:space="preserve">. </w:t>
      </w:r>
      <w:r>
        <w:rPr>
          <w:lang w:val="en-GB" w:eastAsia="zh-CN"/>
        </w:rPr>
        <w:t>The same rule can be reused for Rel-16, i.e., for Rel-16 NR-DC, t</w:t>
      </w:r>
      <w:r w:rsidRPr="00D67D5E">
        <w:rPr>
          <w:lang w:val="en-GB" w:eastAsia="zh-CN"/>
        </w:rPr>
        <w:t xml:space="preserve">he NW configures at most one </w:t>
      </w:r>
      <w:r>
        <w:rPr>
          <w:lang w:val="en-GB" w:eastAsia="zh-CN"/>
        </w:rPr>
        <w:t>PUCCH group per frequency range per CG.</w:t>
      </w:r>
      <w:r w:rsidR="00257AC8">
        <w:rPr>
          <w:lang w:val="en-GB" w:eastAsia="zh-CN"/>
        </w:rPr>
        <w:t xml:space="preserve"> Another possible way is to configure up to 2 PUCCH groups per CG without considering the frequency range. </w:t>
      </w:r>
    </w:p>
    <w:p w14:paraId="66652990" w14:textId="3284E98B" w:rsidR="00D67D5E" w:rsidRPr="00305B17" w:rsidRDefault="00D67D5E" w:rsidP="00DC4B1C">
      <w:pPr>
        <w:rPr>
          <w:i/>
          <w:lang w:val="en-GB" w:eastAsia="zh-CN"/>
        </w:rPr>
      </w:pPr>
      <w:r w:rsidRPr="00305B17">
        <w:rPr>
          <w:b/>
          <w:i/>
          <w:lang w:val="en-GB" w:eastAsia="zh-CN"/>
        </w:rPr>
        <w:t>Proposal</w:t>
      </w:r>
      <w:r w:rsidR="00305B17" w:rsidRPr="00305B17">
        <w:rPr>
          <w:b/>
          <w:i/>
          <w:lang w:val="en-GB" w:eastAsia="zh-CN"/>
        </w:rPr>
        <w:t xml:space="preserve"> 1</w:t>
      </w:r>
      <w:r w:rsidRPr="00305B17">
        <w:rPr>
          <w:i/>
          <w:lang w:val="en-GB" w:eastAsia="zh-CN"/>
        </w:rPr>
        <w:t>: RAN1 clarifies PUCCH group configuration for Rel-16 NR-DC.</w:t>
      </w:r>
    </w:p>
    <w:p w14:paraId="0BFA1EAB" w14:textId="6768DAF9" w:rsidR="00D67D5E" w:rsidRPr="00305B17" w:rsidRDefault="00BE2405" w:rsidP="00305B17">
      <w:pPr>
        <w:ind w:leftChars="100" w:left="200"/>
        <w:rPr>
          <w:i/>
          <w:lang w:val="en-GB" w:eastAsia="zh-CN"/>
        </w:rPr>
      </w:pPr>
      <w:r>
        <w:rPr>
          <w:i/>
          <w:lang w:val="en-GB" w:eastAsia="zh-CN"/>
        </w:rPr>
        <w:t>Alternative</w:t>
      </w:r>
      <w:r w:rsidR="00D67D5E" w:rsidRPr="00305B17">
        <w:rPr>
          <w:i/>
          <w:lang w:val="en-GB" w:eastAsia="zh-CN"/>
        </w:rPr>
        <w:t xml:space="preserve"> 1: NW configures at most one PUCCH group per CG.</w:t>
      </w:r>
    </w:p>
    <w:p w14:paraId="4CD034F8" w14:textId="6F2FB450" w:rsidR="00D67D5E" w:rsidRDefault="00BE2405" w:rsidP="00305B17">
      <w:pPr>
        <w:ind w:leftChars="100" w:left="200"/>
        <w:rPr>
          <w:i/>
          <w:lang w:val="en-GB" w:eastAsia="zh-CN"/>
        </w:rPr>
      </w:pPr>
      <w:r>
        <w:rPr>
          <w:i/>
          <w:lang w:val="en-GB" w:eastAsia="zh-CN"/>
        </w:rPr>
        <w:t>Alternative</w:t>
      </w:r>
      <w:r w:rsidRPr="00305B17">
        <w:rPr>
          <w:i/>
          <w:lang w:val="en-GB" w:eastAsia="zh-CN"/>
        </w:rPr>
        <w:t xml:space="preserve"> </w:t>
      </w:r>
      <w:r w:rsidR="00D67D5E" w:rsidRPr="00305B17">
        <w:rPr>
          <w:i/>
          <w:lang w:val="en-GB" w:eastAsia="zh-CN"/>
        </w:rPr>
        <w:t>2: NW configures at most one PUCCH group per FR per CG.</w:t>
      </w:r>
    </w:p>
    <w:p w14:paraId="020FD9AC" w14:textId="7D3A7252" w:rsidR="00257AC8" w:rsidRPr="00305B17" w:rsidRDefault="00257AC8" w:rsidP="00305B17">
      <w:pPr>
        <w:ind w:leftChars="100" w:left="200"/>
        <w:rPr>
          <w:i/>
          <w:lang w:val="en-GB" w:eastAsia="zh-CN"/>
        </w:rPr>
      </w:pPr>
      <w:r>
        <w:rPr>
          <w:i/>
          <w:lang w:val="en-GB" w:eastAsia="zh-CN"/>
        </w:rPr>
        <w:t>Alternative 3: NW configures at most two PUCCH groups per CG.</w:t>
      </w:r>
    </w:p>
    <w:p w14:paraId="0C5D527B" w14:textId="77777777" w:rsidR="00D67D5E" w:rsidRPr="00AE497C" w:rsidRDefault="00D67D5E" w:rsidP="00DC4B1C">
      <w:pPr>
        <w:rPr>
          <w:lang w:val="en-GB" w:eastAsia="zh-CN"/>
        </w:rPr>
      </w:pPr>
    </w:p>
    <w:p w14:paraId="3B812AB3" w14:textId="77777777" w:rsidR="002F3AEE" w:rsidRDefault="00F16A21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5717272C" w14:textId="5D313ABD" w:rsidR="00FD0EB6" w:rsidRDefault="00305B17" w:rsidP="00FD0EB6">
      <w:pPr>
        <w:rPr>
          <w:lang w:val="en-GB" w:eastAsia="zh-CN"/>
        </w:rPr>
      </w:pPr>
      <w:r w:rsidRPr="00305B17">
        <w:rPr>
          <w:rFonts w:hint="eastAsia"/>
          <w:lang w:val="en-GB" w:eastAsia="zh-CN"/>
        </w:rPr>
        <w:t>I</w:t>
      </w:r>
      <w:r w:rsidRPr="00305B17">
        <w:rPr>
          <w:lang w:val="en-GB" w:eastAsia="zh-CN"/>
        </w:rPr>
        <w:t xml:space="preserve">n this contribution, </w:t>
      </w:r>
      <w:r>
        <w:rPr>
          <w:lang w:val="en-GB" w:eastAsia="zh-CN"/>
        </w:rPr>
        <w:t>we discuss the configuration of PUCCH group for Rel-16 NR-DC. The following proposal is proposed.</w:t>
      </w:r>
    </w:p>
    <w:p w14:paraId="66C60475" w14:textId="77777777" w:rsidR="00BE2405" w:rsidRPr="00305B17" w:rsidRDefault="00BE2405" w:rsidP="00BE2405">
      <w:pPr>
        <w:rPr>
          <w:i/>
          <w:lang w:val="en-GB" w:eastAsia="zh-CN"/>
        </w:rPr>
      </w:pPr>
      <w:r w:rsidRPr="00305B17">
        <w:rPr>
          <w:b/>
          <w:i/>
          <w:lang w:val="en-GB" w:eastAsia="zh-CN"/>
        </w:rPr>
        <w:t>Proposal 1</w:t>
      </w:r>
      <w:r w:rsidRPr="00305B17">
        <w:rPr>
          <w:i/>
          <w:lang w:val="en-GB" w:eastAsia="zh-CN"/>
        </w:rPr>
        <w:t>: RAN1 clarifies PUCCH group configuration for Rel-16 NR-DC.</w:t>
      </w:r>
    </w:p>
    <w:p w14:paraId="55A5F211" w14:textId="77777777" w:rsidR="00BE2405" w:rsidRPr="00305B17" w:rsidRDefault="00BE2405" w:rsidP="00BE2405">
      <w:pPr>
        <w:ind w:leftChars="100" w:left="200"/>
        <w:rPr>
          <w:i/>
          <w:lang w:val="en-GB" w:eastAsia="zh-CN"/>
        </w:rPr>
      </w:pPr>
      <w:r>
        <w:rPr>
          <w:i/>
          <w:lang w:val="en-GB" w:eastAsia="zh-CN"/>
        </w:rPr>
        <w:t>Alternative</w:t>
      </w:r>
      <w:r w:rsidRPr="00305B17">
        <w:rPr>
          <w:i/>
          <w:lang w:val="en-GB" w:eastAsia="zh-CN"/>
        </w:rPr>
        <w:t xml:space="preserve"> 1: NW configures at most one PUCCH group per CG.</w:t>
      </w:r>
    </w:p>
    <w:p w14:paraId="5A444FCA" w14:textId="77777777" w:rsidR="00BE2405" w:rsidRDefault="00BE2405" w:rsidP="00BE2405">
      <w:pPr>
        <w:ind w:leftChars="100" w:left="200"/>
        <w:rPr>
          <w:i/>
          <w:lang w:val="en-GB" w:eastAsia="zh-CN"/>
        </w:rPr>
      </w:pPr>
      <w:r>
        <w:rPr>
          <w:i/>
          <w:lang w:val="en-GB" w:eastAsia="zh-CN"/>
        </w:rPr>
        <w:t>Alternative</w:t>
      </w:r>
      <w:r w:rsidRPr="00305B17">
        <w:rPr>
          <w:i/>
          <w:lang w:val="en-GB" w:eastAsia="zh-CN"/>
        </w:rPr>
        <w:t xml:space="preserve"> 2: NW configures at most one PUCCH group per FR per CG.</w:t>
      </w:r>
    </w:p>
    <w:p w14:paraId="7767F3C8" w14:textId="77777777" w:rsidR="00850A3D" w:rsidRPr="00305B17" w:rsidRDefault="00850A3D" w:rsidP="00850A3D">
      <w:pPr>
        <w:ind w:leftChars="100" w:left="200"/>
        <w:rPr>
          <w:i/>
          <w:lang w:val="en-GB" w:eastAsia="zh-CN"/>
        </w:rPr>
      </w:pPr>
      <w:r>
        <w:rPr>
          <w:i/>
          <w:lang w:val="en-GB" w:eastAsia="zh-CN"/>
        </w:rPr>
        <w:t>Alternative 3: NW configures at most two PUCCH groups per CG.</w:t>
      </w:r>
    </w:p>
    <w:p w14:paraId="13BC79D4" w14:textId="77777777" w:rsidR="00FD0EB6" w:rsidRPr="00BE2405" w:rsidRDefault="00FD0EB6" w:rsidP="00846A99">
      <w:pPr>
        <w:rPr>
          <w:b/>
          <w:color w:val="FF0000"/>
          <w:u w:val="single"/>
          <w:lang w:val="en-GB" w:eastAsia="zh-CN"/>
        </w:rPr>
      </w:pPr>
    </w:p>
    <w:p w14:paraId="4013E638" w14:textId="77777777" w:rsidR="002F3AEE" w:rsidRDefault="00F16A21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3EB600B5" w14:textId="636B2A4D" w:rsidR="00C072EB" w:rsidRDefault="00D67D5E" w:rsidP="00D67D5E">
      <w:pPr>
        <w:pStyle w:val="References"/>
        <w:rPr>
          <w:lang w:eastAsia="zh-CN"/>
        </w:rPr>
      </w:pPr>
      <w:bookmarkStart w:id="4" w:name="_Ref36802401"/>
      <w:r w:rsidRPr="00D67D5E">
        <w:rPr>
          <w:lang w:eastAsia="zh-CN"/>
        </w:rPr>
        <w:t>R1-2001306</w:t>
      </w:r>
      <w:r>
        <w:rPr>
          <w:lang w:eastAsia="zh-CN"/>
        </w:rPr>
        <w:t xml:space="preserve">, </w:t>
      </w:r>
      <w:r w:rsidRPr="00D67D5E">
        <w:rPr>
          <w:lang w:eastAsia="zh-CN"/>
        </w:rPr>
        <w:t>Reply LS for clarification of PUCCH configuration</w:t>
      </w:r>
      <w:r>
        <w:rPr>
          <w:lang w:eastAsia="zh-CN"/>
        </w:rPr>
        <w:t>, RAN1#100e.</w:t>
      </w:r>
      <w:bookmarkEnd w:id="4"/>
    </w:p>
    <w:sectPr w:rsidR="00C072E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A0221" w14:textId="77777777" w:rsidR="00A52C70" w:rsidRDefault="00A52C70">
      <w:pPr>
        <w:spacing w:after="0"/>
      </w:pPr>
      <w:r>
        <w:separator/>
      </w:r>
    </w:p>
  </w:endnote>
  <w:endnote w:type="continuationSeparator" w:id="0">
    <w:p w14:paraId="222EB1AA" w14:textId="77777777" w:rsidR="00A52C70" w:rsidRDefault="00A52C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90802" w14:textId="77777777" w:rsidR="00D67D5E" w:rsidRDefault="00D67D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553708" w14:textId="77777777" w:rsidR="00D67D5E" w:rsidRDefault="00D67D5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37995" w14:textId="77777777" w:rsidR="00D67D5E" w:rsidRDefault="00D67D5E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715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7155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F96BA" w14:textId="77777777" w:rsidR="00A52C70" w:rsidRDefault="00A52C70">
      <w:pPr>
        <w:spacing w:after="0"/>
      </w:pPr>
      <w:r>
        <w:separator/>
      </w:r>
    </w:p>
  </w:footnote>
  <w:footnote w:type="continuationSeparator" w:id="0">
    <w:p w14:paraId="134CEA21" w14:textId="77777777" w:rsidR="00A52C70" w:rsidRDefault="00A52C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D18AA" w14:textId="77777777" w:rsidR="00D67D5E" w:rsidRDefault="00D67D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FF2B88"/>
    <w:multiLevelType w:val="hybridMultilevel"/>
    <w:tmpl w:val="7BB2EA54"/>
    <w:lvl w:ilvl="0" w:tplc="35A6896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0CAC5927"/>
    <w:multiLevelType w:val="hybridMultilevel"/>
    <w:tmpl w:val="0A107E58"/>
    <w:lvl w:ilvl="0" w:tplc="5488359E">
      <w:start w:val="1"/>
      <w:numFmt w:val="bullet"/>
      <w:lvlText w:val=""/>
      <w:lvlJc w:val="left"/>
      <w:pPr>
        <w:ind w:left="14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4" w15:restartNumberingAfterBreak="0">
    <w:nsid w:val="197C5E08"/>
    <w:multiLevelType w:val="hybridMultilevel"/>
    <w:tmpl w:val="30860D5A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1F5956C2"/>
    <w:multiLevelType w:val="hybridMultilevel"/>
    <w:tmpl w:val="372E4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2E4378D"/>
    <w:multiLevelType w:val="hybridMultilevel"/>
    <w:tmpl w:val="ADA87E16"/>
    <w:lvl w:ilvl="0" w:tplc="372E28D6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55364B99"/>
    <w:multiLevelType w:val="hybridMultilevel"/>
    <w:tmpl w:val="B630FF10"/>
    <w:lvl w:ilvl="0" w:tplc="372E28D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3F5B60"/>
    <w:multiLevelType w:val="hybridMultilevel"/>
    <w:tmpl w:val="8F147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8127F5"/>
    <w:multiLevelType w:val="hybridMultilevel"/>
    <w:tmpl w:val="0290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8"/>
  </w:num>
  <w:num w:numId="5">
    <w:abstractNumId w:val="16"/>
  </w:num>
  <w:num w:numId="6">
    <w:abstractNumId w:val="13"/>
  </w:num>
  <w:num w:numId="7">
    <w:abstractNumId w:val="7"/>
  </w:num>
  <w:num w:numId="8">
    <w:abstractNumId w:val="15"/>
  </w:num>
  <w:num w:numId="9">
    <w:abstractNumId w:val="11"/>
  </w:num>
  <w:num w:numId="10">
    <w:abstractNumId w:val="10"/>
  </w:num>
  <w:num w:numId="11">
    <w:abstractNumId w:val="4"/>
  </w:num>
  <w:num w:numId="12">
    <w:abstractNumId w:val="17"/>
  </w:num>
  <w:num w:numId="13">
    <w:abstractNumId w:val="1"/>
  </w:num>
  <w:num w:numId="14">
    <w:abstractNumId w:val="3"/>
  </w:num>
  <w:num w:numId="15">
    <w:abstractNumId w:val="9"/>
  </w:num>
  <w:num w:numId="16">
    <w:abstractNumId w:val="2"/>
  </w:num>
  <w:num w:numId="17">
    <w:abstractNumId w:val="1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331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5F30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BED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270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AC8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135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B17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ECB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6B97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155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84D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CC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2E8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2D4A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99"/>
    <w:rsid w:val="00846AC4"/>
    <w:rsid w:val="00846C77"/>
    <w:rsid w:val="00846E99"/>
    <w:rsid w:val="008470A4"/>
    <w:rsid w:val="00847964"/>
    <w:rsid w:val="00847991"/>
    <w:rsid w:val="00847C4E"/>
    <w:rsid w:val="00847F69"/>
    <w:rsid w:val="00850A3D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CEA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C81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C70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97C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782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405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2EB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992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5D74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D5E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173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4E57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3B7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4DF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0EB6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982B515-444E-4EE8-949E-73CFC5BC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sid w:val="007D48D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">
    <w:name w:val="正文"/>
    <w:rsid w:val="00A02BF5"/>
    <w:pPr>
      <w:spacing w:before="100" w:beforeAutospacing="1" w:after="180"/>
    </w:pPr>
    <w:rPr>
      <w:rFonts w:eastAsia="宋体"/>
      <w:sz w:val="24"/>
      <w:szCs w:val="24"/>
    </w:rPr>
  </w:style>
  <w:style w:type="paragraph" w:customStyle="1" w:styleId="13">
    <w:name w:val="标题 1"/>
    <w:basedOn w:val="Normal"/>
    <w:next w:val="a"/>
    <w:rsid w:val="00AE497C"/>
    <w:pPr>
      <w:keepNext/>
      <w:keepLines/>
      <w:widowControl w:val="0"/>
      <w:pBdr>
        <w:top w:val="single" w:sz="12" w:space="3" w:color="auto"/>
      </w:pBdr>
      <w:overflowPunct/>
      <w:autoSpaceDE/>
      <w:autoSpaceDN/>
      <w:adjustRightInd/>
      <w:spacing w:before="240"/>
      <w:ind w:left="1134" w:hanging="1134"/>
      <w:jc w:val="left"/>
      <w:textAlignment w:val="auto"/>
      <w:outlineLvl w:val="0"/>
    </w:pPr>
    <w:rPr>
      <w:rFonts w:ascii="Arial" w:eastAsia="Times New Roman" w:hAnsi="Arial"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4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2FC92F4-9DF5-4552-9B90-EF55A246D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864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104</cp:revision>
  <cp:lastPrinted>2018-04-07T03:05:00Z</cp:lastPrinted>
  <dcterms:created xsi:type="dcterms:W3CDTF">2019-10-03T09:41:00Z</dcterms:created>
  <dcterms:modified xsi:type="dcterms:W3CDTF">2020-04-08T03:26:00Z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